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StobiSans Regular" w:hAnsi="StobiSans Regular"/>
          <w:b/>
          <w:b/>
          <w:bCs/>
          <w:color w:val="000000"/>
        </w:rPr>
      </w:pPr>
      <w:r>
        <w:rPr>
          <w:rFonts w:ascii="StobiSans Regular" w:hAnsi="StobiSans Regular"/>
          <w:b/>
          <w:bCs/>
          <w:color w:val="000000"/>
        </w:rPr>
        <w:t>TERMS OF REFERENCE</w:t>
      </w:r>
    </w:p>
    <w:p>
      <w:pPr>
        <w:pStyle w:val="Normal"/>
        <w:spacing w:lineRule="auto" w:line="276" w:before="0" w:after="200"/>
        <w:ind w:left="720" w:hanging="0"/>
        <w:jc w:val="both"/>
        <w:rPr>
          <w:rFonts w:ascii="StobiSans Regular" w:hAnsi="StobiSans Regular"/>
          <w:b/>
          <w:b/>
        </w:rPr>
      </w:pPr>
      <w:r>
        <w:rPr>
          <w:rFonts w:ascii="StobiSans Regular" w:hAnsi="StobiSans Regular"/>
          <w:b/>
        </w:rPr>
      </w:r>
    </w:p>
    <w:p>
      <w:pPr>
        <w:pStyle w:val="Normal"/>
        <w:spacing w:lineRule="auto" w:line="276" w:before="0" w:after="200"/>
        <w:ind w:left="720" w:hanging="0"/>
        <w:jc w:val="both"/>
        <w:rPr>
          <w:rFonts w:ascii="StobiSans Regular" w:hAnsi="StobiSans Regular"/>
          <w:b/>
          <w:b/>
        </w:rPr>
      </w:pPr>
      <w:r>
        <w:rPr>
          <w:rFonts w:ascii="StobiSans Regular" w:hAnsi="StobiSans Regular"/>
          <w:b/>
        </w:rPr>
        <w:t>Actuarial Consultant in the Unit for Analysis, Evaluation and Monitoring</w:t>
      </w:r>
    </w:p>
    <w:p>
      <w:pPr>
        <w:pStyle w:val="Normal"/>
        <w:spacing w:lineRule="auto" w:line="276" w:before="0" w:after="200"/>
        <w:ind w:left="720" w:hanging="0"/>
        <w:jc w:val="both"/>
        <w:rPr>
          <w:rFonts w:ascii="StobiSans Regular" w:hAnsi="StobiSans Regular"/>
          <w:b/>
          <w:b/>
        </w:rPr>
      </w:pPr>
      <w:r>
        <w:rPr>
          <w:rFonts w:ascii="StobiSans Regular" w:hAnsi="StobiSans Regular"/>
          <w:b/>
        </w:rPr>
      </w:r>
    </w:p>
    <w:p>
      <w:pPr>
        <w:pStyle w:val="Normal"/>
        <w:tabs>
          <w:tab w:val="left" w:pos="1320" w:leader="none"/>
          <w:tab w:val="left" w:pos="4440" w:leader="none"/>
        </w:tabs>
        <w:ind w:left="4545" w:hanging="0"/>
        <w:jc w:val="both"/>
        <w:rPr>
          <w:rFonts w:ascii="StobiSans Regular" w:hAnsi="StobiSans Regular"/>
          <w:b/>
          <w:b/>
        </w:rPr>
      </w:pPr>
      <w:r>
        <w:rPr>
          <w:rFonts w:ascii="StobiSans Regular" w:hAnsi="StobiSans Regular"/>
          <w:b/>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BACKGROUND</w:t>
      </w:r>
    </w:p>
    <w:p>
      <w:pPr>
        <w:pStyle w:val="Normal"/>
        <w:jc w:val="both"/>
        <w:rPr>
          <w:rFonts w:ascii="StobiSans Regular" w:hAnsi="StobiSans Regular"/>
        </w:rPr>
      </w:pPr>
      <w:r>
        <w:rPr>
          <w:rFonts w:ascii="StobiSans Regular" w:hAnsi="StobiSans Regular"/>
        </w:rPr>
        <w:t xml:space="preserve">The Ministry of Labor and Social Policy of the Republic of Macedonia (MLSP) along with the World Bank have undertaken the implementation of two Conditional Cash Transfer (CCT) Programs focused on alleviating poverty among the poorest and most vulnerable population in Macedonia. </w:t>
      </w:r>
    </w:p>
    <w:p>
      <w:pPr>
        <w:pStyle w:val="Normal"/>
        <w:jc w:val="both"/>
        <w:rPr>
          <w:rFonts w:ascii="StobiSans Regular" w:hAnsi="StobiSans Regular"/>
        </w:rPr>
      </w:pPr>
      <w:r>
        <w:rPr>
          <w:rFonts w:ascii="StobiSans Regular" w:hAnsi="StobiSans Regular"/>
        </w:rPr>
        <w:t xml:space="preserve">The Conditional Cash Transfers (CCT) project’s development objectives are to strengthen the effectiveness and efficiency of the Republic of Macedonia’s social safety net through the introduction of conditional cash transfers and improvements in the administration, oversight, monitoring, and evaluation of social assistance transfers.  </w:t>
      </w:r>
    </w:p>
    <w:p>
      <w:pPr>
        <w:pStyle w:val="Normal"/>
        <w:jc w:val="both"/>
        <w:rPr>
          <w:rFonts w:ascii="StobiSans Regular" w:hAnsi="StobiSans Regular"/>
        </w:rPr>
      </w:pPr>
      <w:r>
        <w:rPr>
          <w:rFonts w:ascii="StobiSans Regular" w:hAnsi="StobiSans Regular"/>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SPECIFIC BACKGROUND</w:t>
      </w:r>
    </w:p>
    <w:p>
      <w:pPr>
        <w:pStyle w:val="Normal"/>
        <w:jc w:val="both"/>
        <w:rPr>
          <w:rFonts w:ascii="StobiSans Regular" w:hAnsi="StobiSans Regular"/>
        </w:rPr>
      </w:pPr>
      <w:r>
        <w:rPr>
          <w:rFonts w:ascii="StobiSans Regular" w:hAnsi="StobiSans Regular"/>
        </w:rPr>
        <w:t>Within the Ministry of labor and social policy and under the Department for strategic planning, a Unit for analysis, evaluation and monitoring of the MLSP’s policies and programs has been established. This unit has specific purpose of supporting the Ministry in taking important decisions by preparing analyses and statistics regarding the Ministry operations. The unit currently is understaffed and the Ministry now needs to strengthen and expand the unit by hiring additional staff.</w:t>
      </w:r>
    </w:p>
    <w:p>
      <w:pPr>
        <w:pStyle w:val="Normal"/>
        <w:jc w:val="both"/>
        <w:rPr>
          <w:rFonts w:ascii="StobiSans Regular" w:hAnsi="StobiSans Regular"/>
        </w:rPr>
      </w:pPr>
      <w:r>
        <w:rPr>
          <w:rFonts w:ascii="StobiSans Regular" w:hAnsi="StobiSans Regular"/>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MAIN OBJECTIVE OF THE ASINGMENT</w:t>
      </w:r>
    </w:p>
    <w:p>
      <w:pPr>
        <w:pStyle w:val="Normal"/>
        <w:jc w:val="both"/>
        <w:rPr>
          <w:rFonts w:ascii="StobiSans Regular" w:hAnsi="StobiSans Regular"/>
        </w:rPr>
      </w:pPr>
      <w:r>
        <w:rPr>
          <w:rFonts w:ascii="StobiSans Regular" w:hAnsi="StobiSans Regular"/>
        </w:rPr>
        <w:t>The purpose of this assignment is to strengthen the capacity of the Unit for analysis, evaluation and monitoring within the MLSP as a tool for creation of policies that will improve the social protection system in Macedonia.</w:t>
      </w:r>
    </w:p>
    <w:p>
      <w:pPr>
        <w:pStyle w:val="Normal"/>
        <w:jc w:val="both"/>
        <w:rPr>
          <w:rFonts w:ascii="StobiSans Regular" w:hAnsi="StobiSans Regular"/>
        </w:rPr>
      </w:pPr>
      <w:r>
        <w:rPr>
          <w:rFonts w:ascii="StobiSans Regular" w:hAnsi="StobiSans Regular"/>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SPECIFIC TASKS</w:t>
      </w:r>
    </w:p>
    <w:p>
      <w:pPr>
        <w:pStyle w:val="Normal"/>
        <w:jc w:val="both"/>
        <w:rPr>
          <w:rFonts w:ascii="StobiSans Regular" w:hAnsi="StobiSans Regular"/>
        </w:rPr>
      </w:pPr>
      <w:r>
        <w:rPr>
          <w:rFonts w:ascii="StobiSans Regular" w:hAnsi="StobiSans Regular"/>
        </w:rPr>
        <w:t>The Actuarial consultant within the Unit for analysis, evaluation and monitoring should project income and costs of the Macedonian pension insurance program and projections related to the social protection system. In order to achieve that the consultant should perform the following tasks:</w:t>
      </w:r>
    </w:p>
    <w:p>
      <w:pPr>
        <w:pStyle w:val="Normal"/>
        <w:spacing w:before="0" w:after="120"/>
        <w:jc w:val="both"/>
        <w:rPr>
          <w:rFonts w:ascii="StobiSans Regular" w:hAnsi="StobiSans Regular"/>
        </w:rPr>
      </w:pPr>
      <w:r>
        <w:rPr>
          <w:rFonts w:ascii="StobiSans Regular" w:hAnsi="StobiSans Regular"/>
        </w:rPr>
      </w:r>
    </w:p>
    <w:p>
      <w:pPr>
        <w:pStyle w:val="Normal"/>
        <w:numPr>
          <w:ilvl w:val="1"/>
          <w:numId w:val="1"/>
        </w:numPr>
        <w:spacing w:before="0" w:after="120"/>
        <w:rPr>
          <w:rFonts w:ascii="StobiSans Regular" w:hAnsi="StobiSans Regular"/>
        </w:rPr>
      </w:pPr>
      <w:r>
        <w:rPr>
          <w:rFonts w:ascii="StobiSans Regular" w:hAnsi="StobiSans Regular"/>
        </w:rPr>
        <w:t>Gathering data, processing and analyzing data;</w:t>
      </w:r>
    </w:p>
    <w:p>
      <w:pPr>
        <w:pStyle w:val="Normal"/>
        <w:numPr>
          <w:ilvl w:val="1"/>
          <w:numId w:val="1"/>
        </w:numPr>
        <w:spacing w:before="0" w:after="120"/>
        <w:jc w:val="both"/>
        <w:rPr>
          <w:rFonts w:ascii="StobiSans Regular" w:hAnsi="StobiSans Regular"/>
        </w:rPr>
      </w:pPr>
      <w:r>
        <w:rPr>
          <w:rFonts w:ascii="StobiSans Regular" w:hAnsi="StobiSans Regular"/>
        </w:rPr>
        <w:t>Reading historical demographic data and  developing demographic assumptions, including fertility and mortality rates and immigration/emigration;</w:t>
      </w:r>
    </w:p>
    <w:p>
      <w:pPr>
        <w:pStyle w:val="Normal"/>
        <w:numPr>
          <w:ilvl w:val="1"/>
          <w:numId w:val="1"/>
        </w:numPr>
        <w:spacing w:before="0" w:after="120"/>
        <w:jc w:val="both"/>
        <w:rPr>
          <w:rFonts w:ascii="StobiSans Regular" w:hAnsi="StobiSans Regular"/>
        </w:rPr>
      </w:pPr>
      <w:r>
        <w:rPr>
          <w:rFonts w:ascii="StobiSans Regular" w:hAnsi="StobiSans Regular"/>
        </w:rPr>
        <w:t xml:space="preserve">Reading historical economic data  and developing economic assumptions, including wage growth, inflation, GDP, average wages, unemployment rates, coverage, compliance, and benefits; </w:t>
      </w:r>
    </w:p>
    <w:p>
      <w:pPr>
        <w:pStyle w:val="Normal"/>
        <w:numPr>
          <w:ilvl w:val="1"/>
          <w:numId w:val="1"/>
        </w:numPr>
        <w:spacing w:before="0" w:after="120"/>
        <w:rPr>
          <w:rFonts w:ascii="StobiSans Regular" w:hAnsi="StobiSans Regular"/>
        </w:rPr>
      </w:pPr>
      <w:r>
        <w:rPr>
          <w:rFonts w:ascii="StobiSans Regular" w:hAnsi="StobiSans Regular"/>
        </w:rPr>
        <w:t>Actuarial models and methods to project income and outgo;</w:t>
      </w:r>
    </w:p>
    <w:p>
      <w:pPr>
        <w:pStyle w:val="Normal"/>
        <w:numPr>
          <w:ilvl w:val="1"/>
          <w:numId w:val="1"/>
        </w:numPr>
        <w:spacing w:before="0" w:after="120"/>
        <w:rPr>
          <w:rFonts w:ascii="StobiSans Regular" w:hAnsi="StobiSans Regular"/>
        </w:rPr>
      </w:pPr>
      <w:r>
        <w:rPr>
          <w:rFonts w:ascii="StobiSans Regular" w:hAnsi="StobiSans Regular"/>
        </w:rPr>
        <w:t>Making projections for policies in the disability program;</w:t>
      </w:r>
    </w:p>
    <w:p>
      <w:pPr>
        <w:pStyle w:val="Normal"/>
        <w:numPr>
          <w:ilvl w:val="1"/>
          <w:numId w:val="1"/>
        </w:numPr>
        <w:spacing w:before="0" w:after="120"/>
        <w:rPr>
          <w:rFonts w:ascii="StobiSans Regular" w:hAnsi="StobiSans Regular"/>
        </w:rPr>
      </w:pPr>
      <w:r>
        <w:rPr>
          <w:rFonts w:ascii="StobiSans Regular" w:hAnsi="StobiSans Regular"/>
        </w:rPr>
        <w:t>Interpreting and presenting pension model outputs in actuarial reports and to policy makers;</w:t>
      </w:r>
    </w:p>
    <w:p>
      <w:pPr>
        <w:pStyle w:val="Normal"/>
        <w:numPr>
          <w:ilvl w:val="1"/>
          <w:numId w:val="1"/>
        </w:numPr>
        <w:spacing w:before="0" w:after="120"/>
        <w:rPr>
          <w:rFonts w:ascii="StobiSans Regular" w:hAnsi="StobiSans Regular"/>
        </w:rPr>
      </w:pPr>
      <w:r>
        <w:rPr>
          <w:rFonts w:ascii="StobiSans Regular" w:hAnsi="StobiSans Regular"/>
        </w:rPr>
        <w:t>Making assessments of the costs of the proposed changes in the Laws;</w:t>
      </w:r>
    </w:p>
    <w:p>
      <w:pPr>
        <w:pStyle w:val="Normal"/>
        <w:numPr>
          <w:ilvl w:val="1"/>
          <w:numId w:val="1"/>
        </w:numPr>
        <w:spacing w:before="0" w:after="120"/>
        <w:rPr>
          <w:rFonts w:ascii="StobiSans Regular" w:hAnsi="StobiSans Regular"/>
        </w:rPr>
      </w:pPr>
      <w:r>
        <w:rPr>
          <w:rFonts w:ascii="StobiSans Regular" w:hAnsi="StobiSans Regular"/>
        </w:rPr>
        <w:t>Assessing assumptions and outputs and benchmarking.</w:t>
      </w:r>
    </w:p>
    <w:p>
      <w:pPr>
        <w:pStyle w:val="Normal"/>
        <w:spacing w:before="0" w:after="120"/>
        <w:ind w:left="1117" w:hanging="0"/>
        <w:rPr>
          <w:rFonts w:ascii="StobiSans Regular" w:hAnsi="StobiSans Regular"/>
        </w:rPr>
      </w:pPr>
      <w:r>
        <w:rPr>
          <w:rFonts w:ascii="StobiSans Regular" w:hAnsi="StobiSans Regular"/>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 xml:space="preserve">REPORTING OBLIGATIONS </w:t>
      </w:r>
    </w:p>
    <w:p>
      <w:pPr>
        <w:pStyle w:val="Normal"/>
        <w:spacing w:before="0" w:after="120"/>
        <w:ind w:left="1117" w:hanging="0"/>
        <w:jc w:val="both"/>
        <w:rPr>
          <w:rFonts w:ascii="StobiSans Regular" w:hAnsi="StobiSans Regular"/>
        </w:rPr>
      </w:pPr>
      <w:r>
        <w:rPr>
          <w:rFonts w:ascii="StobiSans Regular" w:hAnsi="StobiSans Regular"/>
        </w:rPr>
      </w:r>
    </w:p>
    <w:p>
      <w:pPr>
        <w:pStyle w:val="ListParagraph"/>
        <w:ind w:left="360" w:hanging="0"/>
        <w:jc w:val="both"/>
        <w:rPr>
          <w:rFonts w:ascii="StobiSans Regular" w:hAnsi="StobiSans Regular"/>
          <w:sz w:val="24"/>
          <w:szCs w:val="24"/>
          <w:lang w:val="en-GB"/>
        </w:rPr>
      </w:pPr>
      <w:r>
        <w:rPr>
          <w:rFonts w:ascii="StobiSans Regular" w:hAnsi="StobiSans Regular"/>
          <w:sz w:val="24"/>
          <w:szCs w:val="24"/>
          <w:lang w:val="en-GB"/>
        </w:rPr>
        <w:t>The Consultant shall report to the Minister for labour and social policy, to the Head of Sector for Strategic planning, CCT Project Director and CCT Project Manager.</w:t>
      </w:r>
    </w:p>
    <w:p>
      <w:pPr>
        <w:pStyle w:val="ListParagraph"/>
        <w:ind w:left="360" w:hanging="0"/>
        <w:jc w:val="both"/>
        <w:rPr>
          <w:rFonts w:ascii="StobiSans Regular" w:hAnsi="StobiSans Regular"/>
          <w:sz w:val="24"/>
          <w:szCs w:val="24"/>
          <w:lang w:val="en-GB"/>
        </w:rPr>
      </w:pPr>
      <w:r>
        <w:rPr>
          <w:rFonts w:ascii="StobiSans Regular" w:hAnsi="StobiSans Regular"/>
          <w:sz w:val="24"/>
          <w:szCs w:val="24"/>
          <w:lang w:val="en-GB"/>
        </w:rPr>
        <w:t xml:space="preserve">The Consultant on a monthly basis shall produce and submit to the Project Manager progress reports for the implementation of the Project activities. </w:t>
      </w:r>
    </w:p>
    <w:p>
      <w:pPr>
        <w:pStyle w:val="Normal"/>
        <w:spacing w:before="0" w:after="120"/>
        <w:jc w:val="both"/>
        <w:rPr>
          <w:rFonts w:ascii="StobiSans Regular" w:hAnsi="StobiSans Regular"/>
        </w:rPr>
      </w:pPr>
      <w:r>
        <w:rPr>
          <w:rFonts w:ascii="StobiSans Regular" w:hAnsi="StobiSans Regular"/>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 xml:space="preserve">EXPERIENCE AND QUALIFICATIONS OF CONSULTANT </w:t>
      </w:r>
    </w:p>
    <w:p>
      <w:pPr>
        <w:pStyle w:val="Normal"/>
        <w:spacing w:lineRule="auto" w:line="276" w:before="0" w:after="200"/>
        <w:ind w:left="540" w:hanging="0"/>
        <w:jc w:val="both"/>
        <w:rPr>
          <w:rFonts w:ascii="StobiSans Regular" w:hAnsi="StobiSans Regular"/>
          <w:b/>
          <w:b/>
        </w:rPr>
      </w:pPr>
      <w:r>
        <w:rPr>
          <w:rFonts w:ascii="StobiSans Regular" w:hAnsi="StobiSans Regular"/>
          <w:b/>
        </w:rPr>
      </w:r>
    </w:p>
    <w:p>
      <w:pPr>
        <w:pStyle w:val="Normal"/>
        <w:spacing w:before="0" w:after="120"/>
        <w:rPr>
          <w:rFonts w:ascii="StobiSans Regular" w:hAnsi="StobiSans Regular"/>
        </w:rPr>
      </w:pPr>
      <w:r>
        <w:rPr>
          <w:rFonts w:ascii="StobiSans Regular" w:hAnsi="StobiSans Regular"/>
        </w:rPr>
      </w:r>
    </w:p>
    <w:p>
      <w:pPr>
        <w:pStyle w:val="Normal"/>
        <w:numPr>
          <w:ilvl w:val="0"/>
          <w:numId w:val="2"/>
        </w:numPr>
        <w:tabs>
          <w:tab w:val="left" w:pos="709" w:leader="none"/>
        </w:tabs>
        <w:spacing w:before="0" w:after="120"/>
        <w:ind w:left="709" w:hanging="283"/>
        <w:rPr>
          <w:rFonts w:ascii="StobiSans Regular" w:hAnsi="StobiSans Regular"/>
        </w:rPr>
      </w:pPr>
      <w:r>
        <w:rPr>
          <w:rFonts w:ascii="StobiSans Regular" w:hAnsi="StobiSans Regular"/>
        </w:rPr>
        <w:t>More than 5 years experience in actuarial analysis especially in social insurance systems and pension schemes,</w:t>
      </w:r>
    </w:p>
    <w:p>
      <w:pPr>
        <w:pStyle w:val="Normal"/>
        <w:numPr>
          <w:ilvl w:val="0"/>
          <w:numId w:val="2"/>
        </w:numPr>
        <w:tabs>
          <w:tab w:val="left" w:pos="709" w:leader="none"/>
        </w:tabs>
        <w:spacing w:before="0" w:after="120"/>
        <w:ind w:left="709" w:hanging="283"/>
        <w:rPr>
          <w:rFonts w:ascii="StobiSans Regular" w:hAnsi="StobiSans Regular"/>
        </w:rPr>
      </w:pPr>
      <w:r>
        <w:rPr>
          <w:rFonts w:ascii="StobiSans Regular" w:hAnsi="StobiSans Regular"/>
        </w:rPr>
        <w:t xml:space="preserve">Experience in developing cost projections for fully funded system, </w:t>
      </w:r>
    </w:p>
    <w:p>
      <w:pPr>
        <w:pStyle w:val="Normal"/>
        <w:numPr>
          <w:ilvl w:val="0"/>
          <w:numId w:val="2"/>
        </w:numPr>
        <w:tabs>
          <w:tab w:val="left" w:pos="709" w:leader="none"/>
        </w:tabs>
        <w:spacing w:before="0" w:after="120"/>
        <w:ind w:left="709" w:hanging="283"/>
        <w:rPr>
          <w:rFonts w:ascii="StobiSans Regular" w:hAnsi="StobiSans Regular"/>
        </w:rPr>
      </w:pPr>
      <w:r>
        <w:rPr>
          <w:rFonts w:ascii="StobiSans Regular" w:hAnsi="StobiSans Regular"/>
          <w:color w:val="000000"/>
        </w:rPr>
        <w:t>Working experience in data analysis and other activities related to preparation of statistics, household survey analysis, policy evaluation and data forecasting will be considered as an asset;</w:t>
      </w:r>
    </w:p>
    <w:p>
      <w:pPr>
        <w:pStyle w:val="Normal"/>
        <w:numPr>
          <w:ilvl w:val="0"/>
          <w:numId w:val="2"/>
        </w:numPr>
        <w:tabs>
          <w:tab w:val="left" w:pos="709" w:leader="none"/>
        </w:tabs>
        <w:spacing w:before="0" w:after="120"/>
        <w:ind w:left="709" w:hanging="283"/>
        <w:rPr>
          <w:rFonts w:ascii="StobiSans Regular" w:hAnsi="StobiSans Regular"/>
        </w:rPr>
      </w:pPr>
      <w:r>
        <w:rPr>
          <w:rFonts w:ascii="StobiSans Regular" w:hAnsi="StobiSans Regular"/>
          <w:color w:val="000000"/>
        </w:rPr>
        <w:t>The Consultant must be fluent in Macedonian and in English.</w:t>
      </w:r>
    </w:p>
    <w:p>
      <w:pPr>
        <w:pStyle w:val="Normal"/>
        <w:jc w:val="both"/>
        <w:rPr>
          <w:rFonts w:ascii="StobiSans Regular" w:hAnsi="StobiSans Regular"/>
        </w:rPr>
      </w:pPr>
      <w:r>
        <w:rPr>
          <w:rFonts w:ascii="StobiSans Regular" w:hAnsi="StobiSans Regular"/>
        </w:rPr>
      </w:r>
    </w:p>
    <w:p>
      <w:pPr>
        <w:pStyle w:val="Normal"/>
        <w:tabs>
          <w:tab w:val="left" w:pos="720" w:leader="none"/>
          <w:tab w:val="left" w:pos="1440" w:leader="none"/>
          <w:tab w:val="right" w:pos="8640" w:leader="dot"/>
        </w:tabs>
        <w:rPr>
          <w:rFonts w:ascii="StobiSans Regular" w:hAnsi="StobiSans Regular"/>
        </w:rPr>
      </w:pPr>
      <w:r>
        <w:rPr>
          <w:rFonts w:ascii="StobiSans Regular" w:hAnsi="StobiSans Regular"/>
          <w:b/>
        </w:rPr>
        <w:t xml:space="preserve">Contract </w:t>
      </w:r>
      <w:r>
        <w:rPr>
          <w:rFonts w:ascii="StobiSans Regular" w:hAnsi="StobiSans Regular"/>
        </w:rPr>
        <w:t>shall be time based (see World Bank’s Guidelines "Selection and Employment of Consultants by World Bank Borrowers", edited May 2004,</w:t>
      </w:r>
      <w:r>
        <w:rPr>
          <w:rFonts w:ascii="StobiSans Regular" w:hAnsi="StobiSans Regular"/>
          <w:bCs/>
        </w:rPr>
        <w:t xml:space="preserve"> Revised October 2006”</w:t>
      </w:r>
      <w:r>
        <w:rPr>
          <w:rFonts w:ascii="StobiSans Regular" w:hAnsi="StobiSans Regular"/>
        </w:rPr>
        <w:t xml:space="preserve"> available on </w:t>
      </w:r>
      <w:r>
        <w:rPr>
          <w:rFonts w:ascii="StobiSans Regular" w:hAnsi="StobiSans Regular"/>
          <w:u w:val="single"/>
        </w:rPr>
        <w:t>www.worldbank.org</w:t>
      </w:r>
      <w:r>
        <w:rPr>
          <w:rFonts w:ascii="StobiSans Regular" w:hAnsi="StobiSans Regular"/>
        </w:rPr>
        <w:t>)</w:t>
      </w:r>
    </w:p>
    <w:p>
      <w:pPr>
        <w:pStyle w:val="Normal"/>
        <w:jc w:val="both"/>
        <w:rPr>
          <w:rFonts w:ascii="StobiSans Regular" w:hAnsi="StobiSans Regular"/>
        </w:rPr>
      </w:pPr>
      <w:r>
        <w:rPr>
          <w:rFonts w:ascii="StobiSans Regular" w:hAnsi="StobiSans Regular"/>
        </w:rPr>
      </w:r>
    </w:p>
    <w:p>
      <w:pPr>
        <w:pStyle w:val="Normal"/>
        <w:jc w:val="both"/>
        <w:rPr>
          <w:rFonts w:ascii="StobiSans Regular" w:hAnsi="StobiSans Regular"/>
          <w:color w:val="000000"/>
        </w:rPr>
      </w:pPr>
      <w:r>
        <w:rPr>
          <w:rFonts w:ascii="StobiSans Regular" w:hAnsi="StobiSans Regular"/>
          <w:color w:val="000000"/>
        </w:rPr>
      </w:r>
    </w:p>
    <w:p>
      <w:pPr>
        <w:pStyle w:val="Normal"/>
        <w:numPr>
          <w:ilvl w:val="0"/>
          <w:numId w:val="4"/>
        </w:numPr>
        <w:spacing w:lineRule="auto" w:line="276" w:before="0" w:after="200"/>
        <w:jc w:val="both"/>
        <w:rPr>
          <w:rFonts w:ascii="StobiSans Regular" w:hAnsi="StobiSans Regular"/>
          <w:b/>
          <w:b/>
        </w:rPr>
      </w:pPr>
      <w:r>
        <w:rPr>
          <w:rFonts w:ascii="StobiSans Regular" w:hAnsi="StobiSans Regular"/>
          <w:b/>
        </w:rPr>
        <w:t>DURATION OF THE ASSIGNMENT</w:t>
      </w:r>
    </w:p>
    <w:p>
      <w:pPr>
        <w:pStyle w:val="Normal"/>
        <w:jc w:val="both"/>
        <w:rPr>
          <w:rFonts w:ascii="StobiSans Regular" w:hAnsi="StobiSans Regular"/>
          <w:lang w:val="en-GB"/>
        </w:rPr>
      </w:pPr>
      <w:r>
        <w:rPr>
          <w:rFonts w:ascii="StobiSans Regular" w:hAnsi="StobiSans Regular"/>
          <w:lang w:val="en-GB"/>
        </w:rPr>
        <w:t>The expected start date of the assignment t is until August 31, 2018.</w:t>
      </w:r>
    </w:p>
    <w:p>
      <w:pPr>
        <w:pStyle w:val="Normal"/>
        <w:jc w:val="both"/>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tobiSans Regular">
    <w:charset w:val="cc"/>
    <w:family w:val="roman"/>
    <w:pitch w:val="variable"/>
  </w:font>
  <w:font w:name="Liberation Sans">
    <w:altName w:val="Arial"/>
    <w:charset w:val="cc"/>
    <w:family w:val="swiss"/>
    <w:pitch w:val="variable"/>
  </w:font>
  <w:font w:name="Verdan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117"/>
        </w:tabs>
        <w:ind w:left="1117" w:hanging="397"/>
      </w:pPr>
      <w:rPr>
        <w:i w:val="false"/>
        <w:b w:val="false"/>
        <w:rFonts w:ascii="StobiSans Regular" w:hAnsi="StobiSans Regular"/>
        <w:color w:val="00000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284"/>
        </w:tabs>
        <w:ind w:left="284" w:hanging="284"/>
      </w:pPr>
      <w:rPr>
        <w:sz w:val="24"/>
        <w:i w:val="false"/>
        <w:b w:val="false"/>
        <w:szCs w:val="24"/>
        <w:rFonts w:ascii="StobiSans Regular" w:hAnsi="StobiSans Regula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right"/>
      <w:pPr>
        <w:tabs>
          <w:tab w:val="num" w:pos="720"/>
        </w:tabs>
        <w:ind w:left="720" w:hanging="180"/>
      </w:pPr>
      <w:rPr>
        <w:b/>
        <w:rFonts w:ascii="StobiSans Regular" w:hAnsi="StobiSans Regular"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upperRoman"/>
      <w:lvlText w:val="%1."/>
      <w:lvlJc w:val="right"/>
      <w:pPr>
        <w:tabs>
          <w:tab w:val="num" w:pos="720"/>
        </w:tabs>
        <w:ind w:left="720" w:hanging="180"/>
      </w:pPr>
      <w:rPr>
        <w:b/>
        <w:rFonts w:ascii="StobiSans Regular" w:hAnsi="StobiSans Regular"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2"/>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2348"/>
    <w:pPr>
      <w:widowControl/>
      <w:bidi w:val="0"/>
      <w:spacing w:lineRule="auto" w:line="240" w:before="0" w:after="0"/>
      <w:jc w:val="left"/>
    </w:pPr>
    <w:rPr>
      <w:rFonts w:ascii="Times New Roman" w:hAnsi="Times New Roman" w:eastAsia="Times New Roman" w:cs="Times New Roman"/>
      <w:color w:val="auto"/>
      <w:sz w:val="24"/>
      <w:szCs w:val="24"/>
      <w:lang w:val="en-US" w:eastAsia="en-US" w:bidi="ar-SA"/>
    </w:rPr>
  </w:style>
  <w:style w:type="paragraph" w:styleId="Heading2">
    <w:name w:val="Heading 2"/>
    <w:basedOn w:val="Normal"/>
    <w:link w:val="Heading2Char"/>
    <w:uiPriority w:val="9"/>
    <w:qFormat/>
    <w:rsid w:val="00912283"/>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BodyText2Char" w:customStyle="1">
    <w:name w:val="Body Text 2 Char"/>
    <w:basedOn w:val="DefaultParagraphFont"/>
    <w:link w:val="BodyText2"/>
    <w:qFormat/>
    <w:rsid w:val="005d2348"/>
    <w:rPr>
      <w:rFonts w:ascii="Times New Roman" w:hAnsi="Times New Roman" w:eastAsia="Times New Roman" w:cs="Times New Roman"/>
      <w:b/>
      <w:sz w:val="28"/>
      <w:szCs w:val="20"/>
    </w:rPr>
  </w:style>
  <w:style w:type="character" w:styleId="Footnotereference">
    <w:name w:val="footnote reference"/>
    <w:basedOn w:val="DefaultParagraphFont"/>
    <w:semiHidden/>
    <w:qFormat/>
    <w:rsid w:val="005d2348"/>
    <w:rPr>
      <w:vertAlign w:val="superscript"/>
    </w:rPr>
  </w:style>
  <w:style w:type="character" w:styleId="FootnoteTextChar" w:customStyle="1">
    <w:name w:val="Footnote Text Char"/>
    <w:basedOn w:val="DefaultParagraphFont"/>
    <w:link w:val="FootnoteText"/>
    <w:semiHidden/>
    <w:qFormat/>
    <w:rsid w:val="005d2348"/>
    <w:rPr>
      <w:rFonts w:ascii="Times New Roman" w:hAnsi="Times New Roman" w:eastAsia="Times New Roman" w:cs="Times New Roman"/>
      <w:sz w:val="20"/>
      <w:szCs w:val="20"/>
    </w:rPr>
  </w:style>
  <w:style w:type="character" w:styleId="BodyTextChar" w:customStyle="1">
    <w:name w:val="Body Text Char"/>
    <w:basedOn w:val="DefaultParagraphFont"/>
    <w:link w:val="BodyText"/>
    <w:qFormat/>
    <w:rsid w:val="005d2348"/>
    <w:rPr>
      <w:rFonts w:ascii="Times New Roman" w:hAnsi="Times New Roman" w:eastAsia="Times New Roman" w:cs="Times New Roman"/>
      <w:sz w:val="24"/>
      <w:szCs w:val="24"/>
    </w:rPr>
  </w:style>
  <w:style w:type="character" w:styleId="HeaderChar" w:customStyle="1">
    <w:name w:val="Header Char"/>
    <w:basedOn w:val="DefaultParagraphFont"/>
    <w:link w:val="Header"/>
    <w:qFormat/>
    <w:rsid w:val="005d2348"/>
    <w:rPr>
      <w:rFonts w:ascii="Times New Roman" w:hAnsi="Times New Roman" w:eastAsia="Times New Roman" w:cs="Times New Roman"/>
      <w:sz w:val="24"/>
      <w:szCs w:val="20"/>
    </w:rPr>
  </w:style>
  <w:style w:type="character" w:styleId="Heading2Char" w:customStyle="1">
    <w:name w:val="Heading 2 Char"/>
    <w:basedOn w:val="DefaultParagraphFont"/>
    <w:link w:val="Heading2"/>
    <w:uiPriority w:val="9"/>
    <w:qFormat/>
    <w:rsid w:val="00912283"/>
    <w:rPr>
      <w:rFonts w:ascii="Times New Roman" w:hAnsi="Times New Roman" w:eastAsia="Times New Roman" w:cs="Times New Roman"/>
      <w:b/>
      <w:bCs/>
      <w:sz w:val="36"/>
      <w:szCs w:val="36"/>
    </w:rPr>
  </w:style>
  <w:style w:type="character" w:styleId="InternetLink">
    <w:name w:val="Internet Link"/>
    <w:basedOn w:val="DefaultParagraphFont"/>
    <w:uiPriority w:val="99"/>
    <w:semiHidden/>
    <w:unhideWhenUsed/>
    <w:rsid w:val="00912283"/>
    <w:rPr>
      <w:color w:val="0000FF"/>
      <w:u w:val="single"/>
    </w:rPr>
  </w:style>
  <w:style w:type="character" w:styleId="ListLabel1">
    <w:name w:val="ListLabel 1"/>
    <w:qFormat/>
    <w:rPr>
      <w:rFonts w:ascii="StobiSans Regular" w:hAnsi="StobiSans Regular"/>
      <w:b w:val="false"/>
      <w:i w:val="false"/>
      <w:color w:val="00000A"/>
    </w:rPr>
  </w:style>
  <w:style w:type="character" w:styleId="ListLabel2">
    <w:name w:val="ListLabel 2"/>
    <w:qFormat/>
    <w:rPr>
      <w:rFonts w:ascii="StobiSans Regular" w:hAnsi="StobiSans Regular"/>
      <w:b w:val="false"/>
      <w:i w:val="false"/>
      <w:sz w:val="24"/>
      <w:szCs w:val="2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val="fals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StobiSans Regular" w:hAnsi="StobiSans Regular" w:cs="Times New Roman"/>
      <w:b/>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ascii="StobiSans Regular" w:hAnsi="StobiSans Regular" w:cs="Times New Roman"/>
      <w:b/>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5d2348"/>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2">
    <w:name w:val="Body Text 2"/>
    <w:basedOn w:val="Normal"/>
    <w:link w:val="BodyText2Char"/>
    <w:qFormat/>
    <w:rsid w:val="005d2348"/>
    <w:pPr>
      <w:jc w:val="center"/>
    </w:pPr>
    <w:rPr>
      <w:b/>
      <w:sz w:val="28"/>
      <w:szCs w:val="20"/>
    </w:rPr>
  </w:style>
  <w:style w:type="paragraph" w:styleId="Footnotetext">
    <w:name w:val="footnote text"/>
    <w:basedOn w:val="Normal"/>
    <w:link w:val="FootnoteTextChar"/>
    <w:semiHidden/>
    <w:qFormat/>
    <w:rsid w:val="005d2348"/>
    <w:pPr/>
    <w:rPr>
      <w:sz w:val="20"/>
      <w:szCs w:val="20"/>
    </w:rPr>
  </w:style>
  <w:style w:type="paragraph" w:styleId="Block" w:customStyle="1">
    <w:name w:val="Block"/>
    <w:basedOn w:val="Normal"/>
    <w:qFormat/>
    <w:rsid w:val="005d2348"/>
    <w:pPr>
      <w:widowControl w:val="false"/>
    </w:pPr>
    <w:rPr>
      <w:b/>
      <w:sz w:val="22"/>
      <w:szCs w:val="20"/>
    </w:rPr>
  </w:style>
  <w:style w:type="paragraph" w:styleId="Header">
    <w:name w:val="Header"/>
    <w:basedOn w:val="Normal"/>
    <w:link w:val="HeaderChar"/>
    <w:rsid w:val="005d2348"/>
    <w:pPr>
      <w:tabs>
        <w:tab w:val="center" w:pos="4320" w:leader="none"/>
        <w:tab w:val="right" w:pos="8640" w:leader="none"/>
      </w:tabs>
    </w:pPr>
    <w:rPr>
      <w:szCs w:val="20"/>
    </w:rPr>
  </w:style>
  <w:style w:type="paragraph" w:styleId="CarCarChar" w:customStyle="1">
    <w:name w:val="Car Car Char"/>
    <w:basedOn w:val="Normal"/>
    <w:qFormat/>
    <w:rsid w:val="005d2348"/>
    <w:pPr>
      <w:spacing w:lineRule="exact" w:line="240" w:before="0" w:after="160"/>
    </w:pPr>
    <w:rPr>
      <w:rFonts w:ascii="Verdana" w:hAnsi="Verdana"/>
      <w:sz w:val="20"/>
      <w:szCs w:val="20"/>
    </w:rPr>
  </w:style>
  <w:style w:type="paragraph" w:styleId="ListParagraph">
    <w:name w:val="List Paragraph"/>
    <w:basedOn w:val="Normal"/>
    <w:uiPriority w:val="99"/>
    <w:qFormat/>
    <w:rsid w:val="00f742b4"/>
    <w:pPr>
      <w:spacing w:lineRule="auto" w:line="276" w:before="0" w:after="200"/>
      <w:ind w:left="720" w:hanging="0"/>
      <w:contextualSpacing/>
    </w:pPr>
    <w:rPr>
      <w:rFonts w:ascii="Calibri" w:hAnsi="Calibri" w:eastAsia="Calibri"/>
      <w:sz w:val="22"/>
      <w:szCs w:val="22"/>
    </w:rPr>
  </w:style>
  <w:style w:type="paragraph" w:styleId="NormalWeb">
    <w:name w:val="Normal (Web)"/>
    <w:basedOn w:val="Normal"/>
    <w:uiPriority w:val="99"/>
    <w:semiHidden/>
    <w:unhideWhenUsed/>
    <w:qFormat/>
    <w:rsid w:val="00912283"/>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rsid w:val="005d2348"/>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Application>LibreOffice/5.3.2.2$Windows_X86_64 LibreOffice_project/6cd4f1ef626f15116896b1d8e1398b56da0d0ee1</Application>
  <Pages>2</Pages>
  <Words>532</Words>
  <Characters>3121</Characters>
  <CharactersWithSpaces>3614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2017-11-08T13:32:00Z</dcterms:created>
  <dc:creator>Windows User</dc:creator>
  <dc:description/>
  <dc:language>mk-MK</dc:language>
  <cp:lastModifiedBy>Windows User</cp:lastModifiedBy>
  <cp:lastPrinted>2017-11-09T09:21:00Z</cp:lastPrinted>
  <dcterms:modified xsi:type="dcterms:W3CDTF">2017-11-09T09:57:00Z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